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628650"/>
            <wp:effectExtent t="0" r="0" b="0" l="0"/>
            <wp:docPr id="1" name="DBHDS logo" descr="Logo of the Virginia Department of Behavioral Health and Developmental Services" title="DBHD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44"/>
          <w:szCs w:val="44"/>
        </w:rPr>
        <w:t xml:space="preserve">Single Point of Entry and Admission Packet</w:t>
      </w:r>
    </w:p>
    <w:p>
      <w:pPr>
        <w:spacing w:after="120"/>
      </w:pPr>
      <w:r>
        <w:rPr>
          <w:rFonts w:ascii="Helvetica" w:cs="Helvetica" w:eastAsia="Helvetica" w:hAnsi="Helvetica"/>
          <w:b/>
          <w:bCs/>
          <w:i w:val="false"/>
          <w:iCs w:val="false"/>
          <w:color w:val="75A142"/>
          <w:sz w:val="32"/>
          <w:szCs w:val="32"/>
        </w:rPr>
        <w:t xml:space="preserve">Helpful Tips for ICF/IID Staff</w:t>
      </w:r>
    </w:p>
    <w:p>
      <w:pPr>
        <w:pBdr>
          <w:bottom w:val="single" w:color="074369" w:sz="18" w:space="2"/>
        </w:pBdr>
        <w:spacing w:after="200" w:before="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60" w:before="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3"/>
          <w:szCs w:val="23"/>
        </w:rPr>
        <w:t xml:space="preserve">This guide explains what you must do when someone moves into, out of, or between Intermediate Care Facilities for Individuals with Intellectual Disabilities (ICF/IID). It tells you which forms to send, when to send them, and who to contact.</w:t>
      </w:r>
    </w:p>
    <w:tbl>
      <w:tblPr>
        <w:tblW w:type="dxa" w:w="10080"/>
        <w:tblBorders>
          <w:top w:val="single" w:color="D9DBDC" w:sz="4"/>
          <w:left w:val="single" w:color="E8B900" w:sz="24"/>
          <w:bottom w:val="single" w:color="D9DBDC" w:sz="4"/>
          <w:right w:val="single" w:color="D9DBDC" w:sz="4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F2F3F4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74369"/>
                <w:sz w:val="24"/>
                <w:szCs w:val="24"/>
              </w:rPr>
              <w:t xml:space="preserve">Start here</w:t>
            </w:r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If you only read one part of this guide, read </w:t>
            </w: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“Quick reference: what is required?”</w:t>
            </w: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 near the end of this guide. It shows what each situation requires.</w:t>
            </w:r>
          </w:p>
        </w:tc>
      </w:tr>
    </w:tbl>
    <w:p>
      <w:pPr>
        <w:pStyle w:val="Heading1"/>
        <w:keepNext/>
        <w:pBdr>
          <w:bottom w:val="single" w:color="75A142" w:sz="12" w:space="4"/>
        </w:pBdr>
        <w:spacing w:after="120" w:before="28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32"/>
          <w:szCs w:val="32"/>
        </w:rPr>
        <w:t xml:space="preserve">Step 1: Submit the VIDES request form</w:t>
      </w:r>
    </w:p>
    <w:p>
      <w:pPr>
        <w:spacing w:after="100" w:before="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VIDES request form is the first step in admitting someone to an ICF/IID.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social worker or designee at the ICF/IID completes the form.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Download the form from the </w:t>
      </w:r>
      <w:hyperlink w:history="1" r:id="rIdx-4pqy3wnfumpees0fwym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DBHDS ICF/IID page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What the VIDES does</w:t>
      </w:r>
    </w:p>
    <w:p>
      <w:pPr>
        <w:spacing w:after="100" w:before="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VIDES (Virginia Individual Developmental Disabilities Eligibility Survey) determines whether a person is functionally eligible for ICF/IID services.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Complete the VIDES before the person is admitted.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Your facility cannot bill Medicaid until the VIDES is complete.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you admit someone before the VIDES is complete, billing starts on the date of the VIDES.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There are three versions: </w:t>
      </w:r>
      <w:hyperlink w:history="1" r:id="rIdbb_ifsrxwmrchppgje1ni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Infant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</w:t>
      </w:r>
      <w:hyperlink w:history="1" r:id="rIdvavzr9rvsdcaort3cepzb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Child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and </w:t>
      </w:r>
      <w:hyperlink w:history="1" r:id="rIdbhmmtwafwinqeeyumfh4j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Adult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What the VIDES assesses</w:t>
      </w:r>
    </w:p>
    <w:p>
      <w:pPr>
        <w:spacing w:after="100" w:before="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VIDES looks at eight categories: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Health status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Communication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Task learning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Personal care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Behavior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Mobility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Community living skills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Self-direction</w:t>
      </w:r>
    </w:p>
    <w:p>
      <w:pPr>
        <w:pStyle w:val="Heading1"/>
        <w:keepNext/>
        <w:pBdr>
          <w:bottom w:val="single" w:color="75A142" w:sz="12" w:space="4"/>
        </w:pBdr>
        <w:spacing w:after="120" w:before="28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32"/>
          <w:szCs w:val="32"/>
        </w:rPr>
        <w:t xml:space="preserve">Step 2: Complete the admission packet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packet includes four DMAS forms: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121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121A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119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and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225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Write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N/A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for any question that does not apply to the person.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Physician signature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When the physician signs the 121 and 121A, they certify that the person meets ICF/IID level of care.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date the physician signs should match the admission date.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physician may sign up to 30 days before admission, or on the day of admission.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physician signs after admission, billing starts on the date the physician signed.</w:t>
      </w:r>
    </w:p>
    <w:p>
      <w:pPr>
        <w:pStyle w:val="Heading1"/>
        <w:keepNext/>
        <w:pBdr>
          <w:bottom w:val="single" w:color="75A142" w:sz="12" w:space="4"/>
        </w:pBdr>
        <w:spacing w:after="120" w:before="28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32"/>
          <w:szCs w:val="32"/>
        </w:rPr>
        <w:t xml:space="preserve">Step 3: Send the VIDES request and admission packet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Send encrypted email to </w:t>
      </w:r>
      <w:hyperlink w:history="1" r:id="rId4baalfkfkbndgaae52gsu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vides.request@dbhds.virginia.gov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you cannot send encrypted email, contact </w:t>
      </w:r>
      <w:hyperlink w:history="1" r:id="rIdp4dftv39drxitl5eu4qp_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Benita.Holland@dbhds.virginia.gov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or </w:t>
      </w:r>
      <w:hyperlink w:history="1" r:id="rId7eitnpmwkr_os6sotnwfe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Josephine.Harris@dbhds.virginia.gov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for help.</w:t>
      </w:r>
    </w:p>
    <w:p>
      <w:pPr>
        <w:pStyle w:val="Heading1"/>
        <w:keepNext/>
        <w:pBdr>
          <w:bottom w:val="single" w:color="75A142" w:sz="12" w:space="4"/>
        </w:pBdr>
        <w:spacing w:after="120" w:before="28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32"/>
          <w:szCs w:val="32"/>
        </w:rPr>
        <w:t xml:space="preserve">Special situations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Hospital stays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a resident is in an acute care hospital for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30 days or more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you must discharge them from the ICF/IID, because the facility is not providing active treatment.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To readmit the person, submit a new VIDES and admission packet.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stay is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less than 30 days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you do not need to take any action.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Skilled nursing units</w:t>
      </w:r>
    </w:p>
    <w:p>
      <w:pPr>
        <w:spacing w:after="100" w:before="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When a person receives services in a skilled unit, discharge them from the ICF/IID so DMAS can update the level of care for billing.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stay is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less than 60 days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Single Point of Entry is not required. Both the ICF/IID and the discharging facility must submit a DMAS 225.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stay is </w:t>
      </w: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60 days or more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screen the person through Single Point of Entry and submit an admission packet.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Hospice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When a person enters hospice while living at an ICF/IID, discharge them from the ICF/IID so the system reflects hospice services.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While the person receives hospice services, bill the hospice provider instead of DMAS.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Deduct the patient pay from the bill you send to the hospice provider.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person leaves hospice and stays at the ICF/IID, submit a VIDES and admission packet.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Moving between sites under the same provider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there is no break in services, you do not need to submit a VIDES request.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NPI/PRSS numbers are different, submit an admission packet.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If the NPI/PRSS numbers are the same, you do not need to take any action.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Before any move between sites, you must offer the person informed choice and refer them to the Regional Support Team (RST).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Download the RST referral and Virginia Informed Choice (VIC) forms from the </w:t>
      </w:r>
      <w:hyperlink w:history="1" r:id="rIddgrhfc8hienvn21m97eia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DBHDS provider network supports page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Send completed forms to </w:t>
      </w:r>
      <w:hyperlink w:history="1" r:id="rId1l52mn_zr8lx295tdxoj0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rst.referrals@dbhds.virginia.gov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Complete all RST recommendations before the person moves.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Moving from a DD Waiver to an ICF/IID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Work with the CSB support coordinator to plan the transition.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After admission, confirm with the support coordinator that the waiver slot is in “pending appeal status” before you submit the admission paperwork.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This step lets DMAS update the level of care in the Medicaid Enterprise System (MES) so the ICF/IID can bill.</w:t>
      </w:r>
    </w:p>
    <w:p>
      <w:pPr>
        <w:pStyle w:val="Heading2"/>
        <w:keepNext/>
        <w:spacing w:after="90" w:before="210"/>
      </w:pPr>
      <w:r>
        <w:rPr>
          <w:rFonts w:ascii="Helvetica" w:cs="Helvetica" w:eastAsia="Helvetica" w:hAnsi="Helvetica"/>
          <w:b/>
          <w:bCs/>
          <w:i w:val="false"/>
          <w:iCs w:val="false"/>
          <w:color w:val="00689A"/>
          <w:sz w:val="26"/>
          <w:szCs w:val="26"/>
        </w:rPr>
        <w:t xml:space="preserve">Deaths and discharges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Submit a DMAS 225 to DMAS at </w:t>
      </w:r>
      <w:hyperlink w:history="1" r:id="rIdfmayyis3emruujvuegvue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DDwaiver@DMAS.Virginia.gov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Style w:val="Heading1"/>
        <w:keepNext/>
        <w:pBdr>
          <w:bottom w:val="single" w:color="75A142" w:sz="12" w:space="4"/>
        </w:pBdr>
        <w:spacing w:after="120" w:before="28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32"/>
          <w:szCs w:val="32"/>
        </w:rPr>
        <w:t xml:space="preserve">Who to contact</w:t>
      </w:r>
    </w:p>
    <w:tbl>
      <w:tblPr>
        <w:tblW w:type="dxa" w:w="10080"/>
        <w:tblBorders>
          <w:top w:val="single" w:color="D9DBDC" w:sz="4"/>
          <w:left w:val="single" w:color="00689A" w:sz="24"/>
          <w:bottom w:val="single" w:color="D9DBDC" w:sz="4"/>
          <w:right w:val="single" w:color="D9DBDC" w:sz="4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F2F3F4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74369"/>
                <w:sz w:val="24"/>
                <w:szCs w:val="24"/>
              </w:rPr>
              <w:t xml:space="preserve">DBHDS contacts</w:t>
            </w:r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Dr. Benita Holland</w:t>
            </w: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, Family Resource Consultant Manager</w:t>
            </w:r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Phone: 804-201-3833  |  Email: </w:t>
            </w:r>
            <w:hyperlink w:history="1" r:id="rId5k7vsxcm5bo3n1j7bswhy">
              <w:r>
                <w:rPr>
                  <w:rFonts w:ascii="Helvetica" w:cs="Helvetica" w:eastAsia="Helvetica" w:hAnsi="Helvetica"/>
                  <w:color w:val="00689A"/>
                  <w:sz w:val="22"/>
                  <w:szCs w:val="22"/>
                  <w:u w:val="single"/>
                </w:rPr>
                <w:t xml:space="preserve">Benita.Holland@dbhds.virginia.gov</w:t>
              </w:r>
            </w:hyperlink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Josephine Harris</w:t>
            </w: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, Family Resource Consultant</w:t>
            </w:r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Phone: 804-414-5160  |  Email: </w:t>
            </w:r>
            <w:hyperlink w:history="1" r:id="rIdopy40l0uo-8okb64tdel2">
              <w:r>
                <w:rPr>
                  <w:rFonts w:ascii="Helvetica" w:cs="Helvetica" w:eastAsia="Helvetica" w:hAnsi="Helvetica"/>
                  <w:color w:val="00689A"/>
                  <w:sz w:val="22"/>
                  <w:szCs w:val="22"/>
                  <w:u w:val="single"/>
                </w:rPr>
                <w:t xml:space="preserve">Josephine.Harris@dbhds.virginia.gov</w:t>
              </w:r>
            </w:hyperlink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VIDES requests and admission packets: </w:t>
            </w:r>
            <w:hyperlink w:history="1" r:id="rIdvg11svg48aum9dtol4a1c">
              <w:r>
                <w:rPr>
                  <w:rFonts w:ascii="Helvetica" w:cs="Helvetica" w:eastAsia="Helvetica" w:hAnsi="Helvetica"/>
                  <w:color w:val="00689A"/>
                  <w:sz w:val="22"/>
                  <w:szCs w:val="22"/>
                  <w:u w:val="single"/>
                </w:rPr>
                <w:t xml:space="preserve">vides.request@dbhds.virginia.gov</w:t>
              </w:r>
            </w:hyperlink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RST referrals and VIC forms: </w:t>
            </w:r>
            <w:hyperlink w:history="1" r:id="rIdfmiuekzo4hstrbrjhinrb">
              <w:r>
                <w:rPr>
                  <w:rFonts w:ascii="Helvetica" w:cs="Helvetica" w:eastAsia="Helvetica" w:hAnsi="Helvetica"/>
                  <w:color w:val="00689A"/>
                  <w:sz w:val="22"/>
                  <w:szCs w:val="22"/>
                  <w:u w:val="single"/>
                </w:rPr>
                <w:t xml:space="preserve">rst.referrals@dbhds.virginia.gov</w:t>
              </w:r>
            </w:hyperlink>
          </w:p>
          <w:p>
            <w:pPr>
              <w:spacing w:after="6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DMAS 225 submissions: </w:t>
            </w:r>
            <w:hyperlink w:history="1" r:id="rIdj2vg0rc14c7apvds1oa7i">
              <w:r>
                <w:rPr>
                  <w:rFonts w:ascii="Helvetica" w:cs="Helvetica" w:eastAsia="Helvetica" w:hAnsi="Helvetica"/>
                  <w:color w:val="00689A"/>
                  <w:sz w:val="22"/>
                  <w:szCs w:val="22"/>
                  <w:u w:val="single"/>
                </w:rPr>
                <w:t xml:space="preserve">DDwaiver@DMAS.Virginia.gov</w:t>
              </w:r>
            </w:hyperlink>
          </w:p>
        </w:tc>
      </w:tr>
    </w:tbl>
    <w:p>
      <w:pPr>
        <w:pageBreakBefore/>
        <w:spacing w:after="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Style w:val="Heading1"/>
        <w:keepNext/>
        <w:pBdr>
          <w:bottom w:val="single" w:color="75A142" w:sz="12" w:space="4"/>
        </w:pBdr>
        <w:spacing w:after="120" w:before="280"/>
      </w:pPr>
      <w:r>
        <w:rPr>
          <w:rFonts w:ascii="Helvetica" w:cs="Helvetica" w:eastAsia="Helvetica" w:hAnsi="Helvetica"/>
          <w:b/>
          <w:bCs/>
          <w:i w:val="false"/>
          <w:iCs w:val="false"/>
          <w:color w:val="074369"/>
          <w:sz w:val="32"/>
          <w:szCs w:val="32"/>
        </w:rPr>
        <w:t xml:space="preserve">Quick reference: what is required?</w:t>
      </w:r>
    </w:p>
    <w:p>
      <w:pPr>
        <w:spacing w:after="160" w:before="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Find your situation in the first column, then read across the row.</w:t>
      </w:r>
    </w:p>
    <w:tbl>
      <w:tblPr>
        <w:tblW w:type="dxa" w:w="10080"/>
        <w:tblBorders>
          <w:top w:val="single" w:color="B9BDBF" w:sz="4"/>
          <w:left w:val="single" w:color="B9BDBF" w:sz="4"/>
          <w:bottom w:val="single" w:color="B9BDBF" w:sz="4"/>
          <w:right w:val="single" w:color="B9BDBF" w:sz="4"/>
          <w:insideH w:val="single" w:color="D9DBDC" w:sz="4"/>
          <w:insideV w:val="single" w:color="D9DBDC" w:sz="4"/>
        </w:tblBorders>
        <w:tblLayout w:type="fixed"/>
      </w:tblPr>
      <w:tblGrid>
        <w:gridCol w:w="4020"/>
        <w:gridCol w:w="1800"/>
        <w:gridCol w:w="1800"/>
        <w:gridCol w:w="2460"/>
      </w:tblGrid>
      <w:tr>
        <w:trPr>
          <w:tblHeader/>
        </w:trPr>
        <w:tc>
          <w:tcPr>
            <w:tcW w:type="dxa" w:w="4020"/>
            <w:shd w:fill="07436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Scenario</w:t>
            </w:r>
          </w:p>
        </w:tc>
        <w:tc>
          <w:tcPr>
            <w:tcW w:type="dxa" w:w="1800"/>
            <w:shd w:fill="07436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Single Point of Entry (VIDES) required?</w:t>
            </w:r>
          </w:p>
        </w:tc>
        <w:tc>
          <w:tcPr>
            <w:tcW w:type="dxa" w:w="1800"/>
            <w:shd w:fill="07436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Admission packet required?</w:t>
            </w:r>
          </w:p>
        </w:tc>
        <w:tc>
          <w:tcPr>
            <w:tcW w:type="dxa" w:w="2460"/>
            <w:shd w:fill="07436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Other action needed</w:t>
            </w:r>
          </w:p>
        </w:tc>
      </w:tr>
      <w:tr>
        <w:trPr>
          <w:cantSplit/>
        </w:trPr>
        <w:tc>
          <w:tcPr>
            <w:tcW w:type="dxa" w:w="402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Admission to an ICF/IID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402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Return from a skilled nursing unit, less than 60 days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246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Submit a DMAS 225</w:t>
            </w:r>
          </w:p>
        </w:tc>
      </w:tr>
      <w:tr>
        <w:trPr>
          <w:cantSplit/>
        </w:trPr>
        <w:tc>
          <w:tcPr>
            <w:tcW w:type="dxa" w:w="402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Return from a skilled nursing unit, 60 days or more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402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Hospital stay (acute care), less than 30 days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246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402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Hospital stay (acute care), 30 days or more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Discharge the individual</w:t>
            </w:r>
          </w:p>
        </w:tc>
      </w:tr>
      <w:tr>
        <w:trPr>
          <w:cantSplit/>
        </w:trPr>
        <w:tc>
          <w:tcPr>
            <w:tcW w:type="dxa" w:w="402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Move to a different site under the same provider, no break in services, same NPI/PRSS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246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Informed choice and RST referral</w:t>
            </w:r>
          </w:p>
        </w:tc>
      </w:tr>
      <w:tr>
        <w:trPr>
          <w:cantSplit/>
        </w:trPr>
        <w:tc>
          <w:tcPr>
            <w:tcW w:type="dxa" w:w="402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Move to a different site under the same provider, no break in services, different NPI/PRSS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No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Informed choice and RST referral</w:t>
            </w:r>
          </w:p>
        </w:tc>
      </w:tr>
      <w:tr>
        <w:trPr>
          <w:cantSplit/>
        </w:trPr>
        <w:tc>
          <w:tcPr>
            <w:tcW w:type="dxa" w:w="402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Move to a different site under the same provider, with a break in services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Informed choice and RST referral</w:t>
            </w:r>
          </w:p>
        </w:tc>
      </w:tr>
      <w:tr>
        <w:trPr>
          <w:cantSplit/>
        </w:trPr>
        <w:tc>
          <w:tcPr>
            <w:tcW w:type="dxa" w:w="402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Move to a new provider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402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Move from a state ICF/IID to a private ICF/IID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402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Move from a private ICF/IID to a state ICF/IID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402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Hospice while living in the ICF/IID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180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Yes</w:t>
            </w:r>
          </w:p>
        </w:tc>
        <w:tc>
          <w:tcPr>
            <w:tcW w:type="dxa" w:w="2460"/>
            <w:shd w:fill="F2F3F4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 w:line="264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Discharge the individual</w:t>
            </w:r>
          </w:p>
        </w:tc>
      </w:tr>
    </w:tbl>
    <w:p>
      <w:pPr>
        <w:spacing w:after="200" w:before="160" w:line="264"/>
      </w:pPr>
      <w:r>
        <w:rPr>
          <w:rFonts w:ascii="Helvetica" w:cs="Helvetica" w:eastAsia="Helvetica" w:hAnsi="Helvetica"/>
          <w:b/>
          <w:bCs/>
          <w:i w:val="false"/>
          <w:iCs w:val="false"/>
          <w:color w:val="000000"/>
          <w:sz w:val="22"/>
          <w:szCs w:val="22"/>
        </w:rPr>
        <w:t xml:space="preserve">Note: 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Before any move between sites, you must offer the person informed choice and refer them to the Regional Support Team, even when no VIDES or admission packet is required.</w:t>
      </w:r>
    </w:p>
    <w:p>
      <w:pPr>
        <w:spacing w:after="0" w:before="240" w:line="264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Need this document in another format? Contact </w:t>
      </w:r>
      <w:hyperlink w:history="1" r:id="rIdiqcpfm-aihgm0g_72uwrx">
        <w:r>
          <w:rPr>
            <w:rFonts w:ascii="Helvetica" w:cs="Helvetica" w:eastAsia="Helvetica" w:hAnsi="Helvetica"/>
            <w:color w:val="00689A"/>
            <w:sz w:val="22"/>
            <w:szCs w:val="22"/>
            <w:u w:val="single"/>
          </w:rPr>
          <w:t xml:space="preserve">communications@dbhds.virginia.gov</w:t>
        </w:r>
      </w:hyperlink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sectPr>
      <w:footerReference w:type="default" r:id="rId7"/>
      <w:pgSz w:w="12240" w:h="15840" w:orient="portrait"/>
      <w:pgMar w:top="108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BDC" w:sz="6" w:space="6"/>
      </w:pBdr>
      <w:spacing w:before="120"/>
      <w:jc w:val="center"/>
    </w:pPr>
    <w:r>
      <w:rPr>
        <w:rFonts w:ascii="Helvetica" w:cs="Helvetica" w:eastAsia="Helvetica" w:hAnsi="Helvetica"/>
        <w:color w:val="53575A"/>
        <w:sz w:val="16"/>
        <w:szCs w:val="16"/>
      </w:rPr>
      <w:t xml:space="preserve">Virginia Department of Behavioral Health and Developmental Services  |  Revised August 20, 2026  |  Page </w:t>
    </w:r>
    <w:r>
      <w:rPr>
        <w:rFonts w:ascii="Helvetica" w:cs="Helvetica" w:eastAsia="Helvetica" w:hAnsi="Helvetica"/>
        <w:color w:val="53575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Helvetica" w:cs="Helvetica" w:eastAsia="Helvetica" w:hAnsi="Helvetica"/>
        <w:color w:val="53575A"/>
        <w:sz w:val="16"/>
        <w:szCs w:val="16"/>
      </w:rPr>
      <w:t xml:space="preserve"> of </w:t>
    </w:r>
    <w:r>
      <w:rPr>
        <w:rFonts w:ascii="Helvetica" w:cs="Helvetica" w:eastAsia="Helvetica" w:hAnsi="Helvetica"/>
        <w:color w:val="53575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360" w:hanging="220"/>
      </w:pPr>
      <w:rPr>
        <w:rFonts w:ascii="Helvetica" w:cs="Helvetica" w:eastAsia="Helvetica" w:hAnsi="Helvetica"/>
        <w:color w:val="75A142"/>
      </w:rPr>
    </w:lvl>
    <w:lvl w:ilvl="1" w15:tentative="1">
      <w:start w:val="1"/>
      <w:numFmt w:val="bullet"/>
      <w:lvlText w:val="○"/>
      <w:lvlJc w:val="left"/>
      <w:pPr>
        <w:ind w:left="720" w:hanging="220"/>
      </w:pPr>
      <w:rPr>
        <w:rFonts w:ascii="Helvetica" w:cs="Helvetica" w:eastAsia="Helvetica" w:hAnsi="Helvetica"/>
        <w:color w:val="00689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rFonts w:ascii="Helvetica" w:cs="Helvetica" w:eastAsia="Helvetica" w:hAnsi="Helvetica"/>
        <w:b/>
        <w:bCs/>
        <w:color w:val="07436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000000"/>
        <w:sz w:val="22"/>
        <w:szCs w:val="22"/>
        <w:lang w:val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Helvetica" w:cs="Helvetica" w:eastAsia="Helvetica" w:hAnsi="Helvetica"/>
      <w:b/>
      <w:bCs/>
      <w:color w:val="074369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Helvetica" w:cs="Helvetica" w:eastAsia="Helvetica" w:hAnsi="Helvetica"/>
      <w:b/>
      <w:bCs/>
      <w:color w:val="00689A"/>
      <w:sz w:val="26"/>
      <w:szCs w:val="26"/>
    </w:rPr>
  </w:style>
  <w:style w:type="paragraph" w:styleId="Heading3">
    <w:name w:val="Heading 3"/>
    <w:basedOn w:val="Normal"/>
    <w:next w:val="Normal"/>
    <w:qFormat/>
    <w:rPr>
      <w:rFonts w:ascii="Helvetica" w:cs="Helvetica" w:eastAsia="Helvetica" w:hAnsi="Helvetica"/>
      <w:b/>
      <w:bCs/>
      <w:color w:val="53575A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80"/>
    </w:pPr>
    <w:rPr>
      <w:rFonts w:ascii="Helvetica" w:cs="Helvetica" w:eastAsia="Helvetica" w:hAnsi="Helvetica"/>
      <w:b/>
      <w:bCs/>
      <w:color w:val="074369"/>
      <w:sz w:val="44"/>
      <w:szCs w:val="4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4pqy3wnfumpees0fwym" Type="http://schemas.openxmlformats.org/officeDocument/2006/relationships/hyperlink" Target="https://dbhds.virginia.gov/quality-management/office-of-licensing/icf-iid/" TargetMode="External"/><Relationship Id="rIdbb_ifsrxwmrchppgje1ni" Type="http://schemas.openxmlformats.org/officeDocument/2006/relationships/hyperlink" Target="https://dbhds.virginia.gov/wp-content/uploads/2022/08/VIDES-Infants-Version-7-1-2020.pdf" TargetMode="External"/><Relationship Id="rIdvavzr9rvsdcaort3cepzb" Type="http://schemas.openxmlformats.org/officeDocument/2006/relationships/hyperlink" Target="https://dbhds.virginia.gov/wp-content/uploads/2022/08/VIDES-Childrens-Version-7-1-2020.pdf" TargetMode="External"/><Relationship Id="rIdbhmmtwafwinqeeyumfh4j" Type="http://schemas.openxmlformats.org/officeDocument/2006/relationships/hyperlink" Target="https://dbhds.virginia.gov/wp-content/uploads/2022/08/VIDES-Adult-Version-7-1-2020.pdf" TargetMode="External"/><Relationship Id="rId4baalfkfkbndgaae52gsu" Type="http://schemas.openxmlformats.org/officeDocument/2006/relationships/hyperlink" Target="mailto:vides.request@dbhds.virginia.gov" TargetMode="External"/><Relationship Id="rIdp4dftv39drxitl5eu4qp_" Type="http://schemas.openxmlformats.org/officeDocument/2006/relationships/hyperlink" Target="mailto:Benita.Holland@dbhds.virginia.gov" TargetMode="External"/><Relationship Id="rId7eitnpmwkr_os6sotnwfe" Type="http://schemas.openxmlformats.org/officeDocument/2006/relationships/hyperlink" Target="mailto:Josephine.Harris@dbhds.virginia.gov" TargetMode="External"/><Relationship Id="rIddgrhfc8hienvn21m97eia" Type="http://schemas.openxmlformats.org/officeDocument/2006/relationships/hyperlink" Target="https://dbhds.virginia.gov/developmental-services/provider-network-supports" TargetMode="External"/><Relationship Id="rId1l52mn_zr8lx295tdxoj0" Type="http://schemas.openxmlformats.org/officeDocument/2006/relationships/hyperlink" Target="mailto:rst.referrals@dbhds.virginia.gov" TargetMode="External"/><Relationship Id="rIdfmayyis3emruujvuegvue" Type="http://schemas.openxmlformats.org/officeDocument/2006/relationships/hyperlink" Target="mailto:DDwaiver@DMAS.Virginia.gov" TargetMode="External"/><Relationship Id="rId5k7vsxcm5bo3n1j7bswhy" Type="http://schemas.openxmlformats.org/officeDocument/2006/relationships/hyperlink" Target="mailto:Benita.Holland@dbhds.virginia.gov" TargetMode="External"/><Relationship Id="rIdopy40l0uo-8okb64tdel2" Type="http://schemas.openxmlformats.org/officeDocument/2006/relationships/hyperlink" Target="mailto:Josephine.Harris@dbhds.virginia.gov" TargetMode="External"/><Relationship Id="rIdvg11svg48aum9dtol4a1c" Type="http://schemas.openxmlformats.org/officeDocument/2006/relationships/hyperlink" Target="mailto:vides.request@dbhds.virginia.gov" TargetMode="External"/><Relationship Id="rIdfmiuekzo4hstrbrjhinrb" Type="http://schemas.openxmlformats.org/officeDocument/2006/relationships/hyperlink" Target="mailto:rst.referrals@dbhds.virginia.gov" TargetMode="External"/><Relationship Id="rIdj2vg0rc14c7apvds1oa7i" Type="http://schemas.openxmlformats.org/officeDocument/2006/relationships/hyperlink" Target="mailto:DDwaiver@DMAS.Virginia.gov" TargetMode="External"/><Relationship Id="rIdiqcpfm-aihgm0g_72uwrx" Type="http://schemas.openxmlformats.org/officeDocument/2006/relationships/hyperlink" Target="mailto:communications@dbhds.virginia.gov" TargetMode="External"/><Relationship Id="rId8" Type="http://schemas.openxmlformats.org/officeDocument/2006/relationships/image" Target="media/05af71226edf1cb1b80d38a62a259aa5f1e79fb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Point of Entry and Admission Packet: Helpful Tips</dc:title>
  <dc:creator>Virginia Department of Behavioral Health and Developmental Services</dc:creator>
  <dc:description>Plain-language tips for ICF/IID staff on the Single Point of Entry and admission packet process. Revised August 20, 2026.</dc:description>
  <cp:lastModifiedBy>Un-named</cp:lastModifiedBy>
  <cp:revision>1</cp:revision>
  <dcterms:created xsi:type="dcterms:W3CDTF">2026-09-03T17:51:49.578Z</dcterms:created>
  <dcterms:modified xsi:type="dcterms:W3CDTF">2026-09-03T17:51:49.578Z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